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line="360" w:lineRule="auto"/>
        <w:ind w:left="199" w:leftChars="95" w:firstLine="690" w:firstLineChars="191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2023新华网企业ESG优秀案例征集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shd w:val="clear" w:color="auto" w:fill="FFFFFF"/>
        </w:rPr>
        <w:t>申报书</w:t>
      </w:r>
    </w:p>
    <w:p>
      <w:pPr>
        <w:pStyle w:val="8"/>
        <w:spacing w:line="720" w:lineRule="exact"/>
        <w:jc w:val="center"/>
        <w:rPr>
          <w:rFonts w:hint="eastAsia" w:ascii="宋体" w:hAnsi="宋体" w:eastAsia="宋体" w:cs="宋体"/>
          <w:b/>
          <w:bCs/>
          <w:sz w:val="48"/>
          <w:szCs w:val="44"/>
        </w:rPr>
      </w:pPr>
    </w:p>
    <w:p>
      <w:pPr>
        <w:pStyle w:val="8"/>
        <w:rPr>
          <w:rFonts w:hint="eastAsia" w:ascii="宋体" w:hAnsi="宋体" w:eastAsia="宋体" w:cs="宋体"/>
        </w:rPr>
      </w:pPr>
      <w:bookmarkStart w:id="0" w:name="_GoBack"/>
    </w:p>
    <w:p>
      <w:pPr>
        <w:pStyle w:val="8"/>
        <w:rPr>
          <w:rFonts w:hint="eastAsia" w:ascii="宋体" w:hAnsi="宋体" w:eastAsia="宋体" w:cs="宋体"/>
        </w:rPr>
      </w:pPr>
    </w:p>
    <w:bookmarkEnd w:id="0"/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rPr>
          <w:rFonts w:hint="eastAsia" w:ascii="宋体" w:hAnsi="宋体" w:eastAsia="宋体" w:cs="宋体"/>
        </w:rPr>
      </w:pPr>
    </w:p>
    <w:p>
      <w:pPr>
        <w:pStyle w:val="8"/>
        <w:spacing w:line="72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sz w:val="30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申报单位：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jc w:val="left"/>
        <w:rPr>
          <w:rFonts w:hint="eastAsia" w:ascii="仿宋" w:hAnsi="仿宋" w:eastAsia="仿宋" w:cs="仿宋"/>
          <w:color w:val="auto"/>
          <w:sz w:val="30"/>
          <w:szCs w:val="30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 xml:space="preserve">      联系人: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ind w:firstLine="900" w:firstLineChars="300"/>
        <w:jc w:val="left"/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手机号码：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shd w:val="clear" w:color="auto" w:fill="FFFFFF"/>
        </w:rPr>
        <w:t xml:space="preserve">                           </w:t>
      </w:r>
    </w:p>
    <w:p>
      <w:pPr>
        <w:pStyle w:val="8"/>
        <w:spacing w:line="720" w:lineRule="exact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</w:t>
      </w: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“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新华网企业ESG优秀案例征集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”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项目组</w:t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二〇二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月</w:t>
      </w:r>
    </w:p>
    <w:p>
      <w:pPr>
        <w:spacing w:line="360" w:lineRule="auto"/>
        <w:ind w:left="-17"/>
        <w:jc w:val="center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填写说明</w:t>
      </w:r>
    </w:p>
    <w:p>
      <w:pPr>
        <w:spacing w:line="360" w:lineRule="auto"/>
        <w:ind w:left="199" w:leftChars="95" w:firstLine="573" w:firstLineChars="191"/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填写《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2023新华网企业ESG优秀案例征集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申报书》前请仔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细阅读本说明：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本申报书包括《申报单位基本情况》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2023新华网企业ESG优秀案例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两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个部分。各申报单位须认真填写并提供全部内容，缺填或少填视为申报无效。案例填写为一例一填，如需申报多个案例，请复制本申报书进行填写。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所申报案例理论上为已经实际实施的项目。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各申报单位须保证全部填写内容真实、重点突出、表述简洁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《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2023新华网企业ESG优秀案例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》须按照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表格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进行填写，案例情况叙述准确、逻辑性强、具有较强可读性（尽可能结合图、表等形式）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</w:rPr>
        <w:t>单位提交的案例须提前进行脱敏脱密处理，避免发生失泄密情况。案例内容一经提交即视为提交单位自愿与其他企业分享经验。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5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网上下载申报表格，电子版发送邮箱：xinhua-esg@news.cn，邮件主题格式为“XXX（单位名称）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-2023新华网企业ESG优秀案</w:t>
      </w:r>
      <w:r>
        <w:rPr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申报”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。</w:t>
      </w:r>
    </w:p>
    <w:p>
      <w:pPr>
        <w:spacing w:line="360" w:lineRule="auto"/>
        <w:ind w:left="-17"/>
        <w:jc w:val="left"/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</w:pPr>
      <w:r>
        <w:rPr>
          <w:rFonts w:hint="eastAsia" w:ascii="仿宋_GB2312" w:hAnsi="Times New Roman" w:eastAsia="仿宋_GB2312" w:cs="Times New Roman"/>
          <w:b/>
          <w:color w:val="auto"/>
          <w:sz w:val="30"/>
          <w:szCs w:val="20"/>
        </w:rPr>
        <w:t>一、申报单位基本情况</w:t>
      </w:r>
    </w:p>
    <w:p>
      <w:pPr>
        <w:pStyle w:val="2"/>
        <w:rPr>
          <w:rFonts w:hint="eastAsia"/>
        </w:rPr>
      </w:pPr>
    </w:p>
    <w:tbl>
      <w:tblPr>
        <w:tblStyle w:val="4"/>
        <w:tblW w:w="8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245"/>
        <w:gridCol w:w="1134"/>
        <w:gridCol w:w="1521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单位总部地址、邮编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单位官方网址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务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基本情况介绍</w:t>
            </w:r>
          </w:p>
        </w:tc>
        <w:tc>
          <w:tcPr>
            <w:tcW w:w="5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（请简要叙述本单位行业、规模、营收、员工人数等）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shd w:val="clear" w:color="auto" w:fill="FFFFFF"/>
          <w:lang w:val="en-US" w:eastAsia="zh-CN"/>
        </w:rPr>
        <w:t>2023新华网企业ESG优秀案例</w:t>
      </w:r>
    </w:p>
    <w:tbl>
      <w:tblPr>
        <w:tblStyle w:val="4"/>
        <w:tblpPr w:leftFromText="180" w:rightFromText="180" w:vertAnchor="text" w:horzAnchor="page" w:tblpX="1785" w:tblpY="643"/>
        <w:tblOverlap w:val="never"/>
        <w:tblW w:w="90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6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案例名称：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简述企业践行ESG情况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不超过3000字，需覆盖环境、社会和治理三个领域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企业ESG的披露情况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企业ESG的自我评价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包括企业影响、行业影响、社会影响以及尚需改进之处等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真实性承诺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我单位所提供的所有材料，均真实、完整，如有不实，愿承担相应责任。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F9307"/>
    <w:multiLevelType w:val="singleLevel"/>
    <w:tmpl w:val="F8BF93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YWY2NGI5OTc0ZjdlN2UyZjVlMjA2NTE4MzA1YjYifQ=="/>
  </w:docVars>
  <w:rsids>
    <w:rsidRoot w:val="00000000"/>
    <w:rsid w:val="02F70D3E"/>
    <w:rsid w:val="0CB26B6B"/>
    <w:rsid w:val="0D8E2E98"/>
    <w:rsid w:val="14A463D2"/>
    <w:rsid w:val="151F5097"/>
    <w:rsid w:val="1D9C2CC2"/>
    <w:rsid w:val="342B7AD6"/>
    <w:rsid w:val="39277F0E"/>
    <w:rsid w:val="40425C6E"/>
    <w:rsid w:val="455371CC"/>
    <w:rsid w:val="53834829"/>
    <w:rsid w:val="5A107641"/>
    <w:rsid w:val="5BA07BD1"/>
    <w:rsid w:val="5F105C3D"/>
    <w:rsid w:val="687016C9"/>
    <w:rsid w:val="6FAB0FE8"/>
    <w:rsid w:val="71BB412E"/>
    <w:rsid w:val="768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613</Words>
  <Characters>677</Characters>
  <Lines>0</Lines>
  <Paragraphs>0</Paragraphs>
  <TotalTime>223</TotalTime>
  <ScaleCrop>false</ScaleCrop>
  <LinksUpToDate>false</LinksUpToDate>
  <CharactersWithSpaces>867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2022-08-29T02:47:00Z</dcterms:created>
  <dc:creator>DELL</dc:creator>
  <cp:lastModifiedBy>小雪兒</cp:lastModifiedBy>
  <dcterms:modified xsi:type="dcterms:W3CDTF">2023-07-06T10:18:53Z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535ABA9B66FD4E2C8033A6F601BA6C24_13</vt:lpwstr>
  </property>
</Properties>
</file>