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应与刊播作品一致，有副标题、肩题等形式标题的作品，填报主标题。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按照评选办法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个“评选项目”填报。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文字作品填报字数以WORD“字数统计”栏“字数”项为准；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音视频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作品填报时长；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新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媒体作品填报主体部分字数或时长；集纳式作品填报3件代表作单篇字数或时长，以分号隔开。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作品为中文以外的语言文字，应填报语种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。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严格按规定填报。按“集体”申报的，应附做出主要贡献的人员名单。副部级以上领导干部不参评。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严格按规定填报。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超过3人按“集体”申报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按“集体”申报的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附对作品做出主要贡献的人员名单。副部级以上领导干部不参评。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1"/>
                <w:szCs w:val="15"/>
              </w:rPr>
              <w:t>填报新闻单位名称，不包括内设部门、频道、频率等。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15"/>
              </w:rPr>
              <w:t>合作作品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15"/>
                <w:lang w:val="en-US" w:eastAsia="zh-CN"/>
              </w:rPr>
              <w:t>严格按规定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15"/>
              </w:rPr>
              <w:t>据实申报合作单位。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发布时的平台端口、账号名称或媒体名称。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报纸作品填报版面名称和版次；广播、电视作品填报栏目或专题节目名称；通讯社、期刊、新媒体作品可不填报。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报纸作品填报见报日期；通讯社作品填报发稿日期；广播、电视作品填报播出日期和时间，格式为×月×日×时×分；期刊作品填报年度刊期；新媒体作品填报发布日期和时间。集纳式作品填写起止日期。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填报作品首屏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二维码或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链接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，集纳式作品同时提供3件代表作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二维码或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链接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。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55233F1">
            <w:pPr>
              <w:ind w:firstLine="42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填报作品采编制作过程、传播效果、社会效果等，要求客观准确，不超过500字。参评国际传播的作品，同时填报境外落地、引用、反响等国际传播效果情况，附证明依据链接或截图等（可另附页）。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bidi="ar"/>
              </w:rPr>
              <w:t>国际传播作品填报境外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val="en-US" w:eastAsia="zh-CN" w:bidi="ar"/>
              </w:rPr>
              <w:t>最高传播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bidi="ar"/>
              </w:rPr>
              <w:t>平台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val="en-US" w:eastAsia="zh-CN" w:bidi="ar"/>
              </w:rPr>
              <w:t>链接和境外传播数据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bidi="ar"/>
              </w:rPr>
              <w:t>。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点赞、转发、评论总和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367EBF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1FE495BA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组织报送参评的，在本栏内填报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  <w:t>评语及推荐理由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  <w:t>报送单位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主要负责人签名并加盖单位公章。自荐、他荐的，推荐人在本栏内填写推荐理由并签名。</w:t>
            </w:r>
          </w:p>
          <w:p w14:paraId="31875D0E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3C3D5">
            <w:pPr>
              <w:widowControl w:val="0"/>
              <w:spacing w:line="24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7A5B47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widowControl w:val="0"/>
              <w:spacing w:line="340" w:lineRule="exact"/>
              <w:jc w:val="center"/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4BD75A">
            <w:pPr>
              <w:widowControl w:val="0"/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6D16E2B2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0BF4E2D0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72963AF4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自荐作品由原创单位所在的省级记协、中央新闻单位或中国行业报协会等负责对作品及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材料审核把关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章确认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。</w:t>
            </w:r>
          </w:p>
          <w:p w14:paraId="5EFE330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>
      <w:pPr>
        <w:rPr>
          <w:rFonts w:hint="eastAsia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291819B2"/>
    <w:rsid w:val="33363900"/>
    <w:rsid w:val="4CA94913"/>
    <w:rsid w:val="5D250E1A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712</Characters>
  <Lines>0</Lines>
  <Paragraphs>0</Paragraphs>
  <TotalTime>0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亦冉</cp:lastModifiedBy>
  <dcterms:modified xsi:type="dcterms:W3CDTF">2026-04-07T07:18:04Z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